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4D1F" w14:textId="77777777" w:rsidR="004C2BEC" w:rsidRDefault="004C2BEC" w:rsidP="004C2BEC">
      <w:pPr>
        <w:jc w:val="center"/>
        <w:rPr>
          <w:b/>
          <w:bCs/>
        </w:rPr>
      </w:pPr>
      <w:r>
        <w:rPr>
          <w:b/>
          <w:bCs/>
        </w:rPr>
        <w:t xml:space="preserve">ASCC Social and Behavioral Sciences Panel </w:t>
      </w:r>
    </w:p>
    <w:p w14:paraId="074255DD" w14:textId="6C6AD941" w:rsidR="004C2BEC" w:rsidRDefault="00C223DE" w:rsidP="004C2BEC">
      <w:pPr>
        <w:jc w:val="center"/>
      </w:pPr>
      <w:r>
        <w:t>A</w:t>
      </w:r>
      <w:r w:rsidR="00B16A1D">
        <w:t>pproved</w:t>
      </w:r>
      <w:r w:rsidR="004C2BEC">
        <w:t xml:space="preserve"> Minutes</w:t>
      </w:r>
    </w:p>
    <w:p w14:paraId="16E4AA39" w14:textId="485CDC46" w:rsidR="004C2BEC" w:rsidRDefault="004C2BEC" w:rsidP="004C2BEC">
      <w:r>
        <w:t>Thursday, October 21, 2021</w:t>
      </w:r>
      <w:r>
        <w:tab/>
      </w:r>
      <w:r>
        <w:tab/>
      </w:r>
      <w:r>
        <w:tab/>
      </w:r>
      <w:r>
        <w:tab/>
      </w:r>
      <w:r>
        <w:tab/>
      </w:r>
      <w:r>
        <w:tab/>
      </w:r>
      <w:r>
        <w:tab/>
        <w:t xml:space="preserve">      10:30AM – 12:00PM</w:t>
      </w:r>
    </w:p>
    <w:p w14:paraId="5D630341" w14:textId="77777777" w:rsidR="004C2BEC" w:rsidRDefault="004C2BEC" w:rsidP="004C2BEC">
      <w:r>
        <w:t>CarmenZoom</w:t>
      </w:r>
    </w:p>
    <w:p w14:paraId="3A80B772" w14:textId="77777777" w:rsidR="004C2BEC" w:rsidRDefault="004C2BEC" w:rsidP="004C2BEC"/>
    <w:p w14:paraId="770A5A4A" w14:textId="52ECEBD9" w:rsidR="004C2BEC" w:rsidRDefault="004C2BEC" w:rsidP="004C2BEC">
      <w:r>
        <w:rPr>
          <w:b/>
          <w:bCs/>
        </w:rPr>
        <w:t>Attendees</w:t>
      </w:r>
      <w:r>
        <w:t>:  Cody, Coleman, Guada, Nathanson, Smith, Steele, Valle, Vasey, Vankeerbergen</w:t>
      </w:r>
    </w:p>
    <w:p w14:paraId="6620D220" w14:textId="6D821F72" w:rsidR="004C2BEC" w:rsidRPr="004C2BEC" w:rsidRDefault="004C2BEC" w:rsidP="004C2BEC">
      <w:pPr>
        <w:rPr>
          <w:b/>
          <w:bCs/>
        </w:rPr>
      </w:pPr>
      <w:r>
        <w:rPr>
          <w:b/>
          <w:bCs/>
        </w:rPr>
        <w:t xml:space="preserve">Agenda:  </w:t>
      </w:r>
    </w:p>
    <w:p w14:paraId="24B52C56" w14:textId="100E640E" w:rsidR="005E3616" w:rsidRDefault="005E3616" w:rsidP="005E3616">
      <w:pPr>
        <w:numPr>
          <w:ilvl w:val="0"/>
          <w:numId w:val="2"/>
        </w:numPr>
      </w:pPr>
      <w:r w:rsidRPr="005E3616">
        <w:t>Approval of 10-7-21 minutes</w:t>
      </w:r>
    </w:p>
    <w:p w14:paraId="132124FC" w14:textId="5B547A83" w:rsidR="005E3616" w:rsidRPr="005E3616" w:rsidRDefault="004C2BEC" w:rsidP="005E3616">
      <w:pPr>
        <w:numPr>
          <w:ilvl w:val="1"/>
          <w:numId w:val="2"/>
        </w:numPr>
      </w:pPr>
      <w:r>
        <w:t xml:space="preserve">Nathanson, Vasey; </w:t>
      </w:r>
      <w:r>
        <w:rPr>
          <w:b/>
          <w:bCs/>
        </w:rPr>
        <w:t>u</w:t>
      </w:r>
      <w:r w:rsidR="00A36B84">
        <w:rPr>
          <w:b/>
          <w:bCs/>
        </w:rPr>
        <w:t>nanimously approved</w:t>
      </w:r>
    </w:p>
    <w:p w14:paraId="5572B69C" w14:textId="3DC9F8A3" w:rsidR="005E3616" w:rsidRDefault="005E3616" w:rsidP="005E3616">
      <w:pPr>
        <w:numPr>
          <w:ilvl w:val="0"/>
          <w:numId w:val="2"/>
        </w:numPr>
      </w:pPr>
      <w:r w:rsidRPr="005E3616">
        <w:t>History of Capitalism (new 1b certificate)</w:t>
      </w:r>
    </w:p>
    <w:p w14:paraId="085454CB" w14:textId="1CB81360" w:rsidR="00FA5F49" w:rsidRPr="005C5D4F" w:rsidRDefault="00275C54" w:rsidP="005C5D4F">
      <w:pPr>
        <w:numPr>
          <w:ilvl w:val="1"/>
          <w:numId w:val="2"/>
        </w:numPr>
        <w:rPr>
          <w:b/>
          <w:bCs/>
        </w:rPr>
      </w:pPr>
      <w:r w:rsidRPr="00D91D3F">
        <w:rPr>
          <w:b/>
          <w:bCs/>
        </w:rPr>
        <w:t>The Panel requests that the core of the</w:t>
      </w:r>
      <w:r w:rsidR="00D378FE" w:rsidRPr="00D91D3F">
        <w:rPr>
          <w:b/>
          <w:bCs/>
        </w:rPr>
        <w:t xml:space="preserve"> assessment section be further fleshed out </w:t>
      </w:r>
      <w:r w:rsidRPr="00D91D3F">
        <w:rPr>
          <w:b/>
          <w:bCs/>
        </w:rPr>
        <w:t xml:space="preserve">– beyond generic statements of intention for the future.  </w:t>
      </w:r>
      <w:r w:rsidR="00687929" w:rsidRPr="005C5D4F">
        <w:rPr>
          <w:b/>
          <w:bCs/>
        </w:rPr>
        <w:t>In this expanded assessment plan, p</w:t>
      </w:r>
      <w:r w:rsidRPr="005C5D4F">
        <w:rPr>
          <w:b/>
          <w:bCs/>
        </w:rPr>
        <w:t>lease include r</w:t>
      </w:r>
      <w:r w:rsidR="005D3395" w:rsidRPr="005C5D4F">
        <w:rPr>
          <w:b/>
          <w:bCs/>
        </w:rPr>
        <w:t>ubric</w:t>
      </w:r>
      <w:r w:rsidRPr="005C5D4F">
        <w:rPr>
          <w:b/>
          <w:bCs/>
        </w:rPr>
        <w:t xml:space="preserve">s and/or </w:t>
      </w:r>
      <w:r w:rsidR="005D3395" w:rsidRPr="005C5D4F">
        <w:rPr>
          <w:b/>
          <w:bCs/>
        </w:rPr>
        <w:t>table</w:t>
      </w:r>
      <w:r w:rsidRPr="005C5D4F">
        <w:rPr>
          <w:b/>
          <w:bCs/>
        </w:rPr>
        <w:t>s</w:t>
      </w:r>
      <w:r w:rsidR="005D3395" w:rsidRPr="005C5D4F">
        <w:rPr>
          <w:b/>
          <w:bCs/>
        </w:rPr>
        <w:t xml:space="preserve"> explaining how essays will be evaluated as part of the certificate</w:t>
      </w:r>
      <w:r w:rsidR="007050A9" w:rsidRPr="005C5D4F">
        <w:rPr>
          <w:b/>
          <w:bCs/>
        </w:rPr>
        <w:t xml:space="preserve"> (or at least provide hypothetical exemplars</w:t>
      </w:r>
      <w:r w:rsidRPr="005C5D4F">
        <w:rPr>
          <w:b/>
          <w:bCs/>
        </w:rPr>
        <w:t>)</w:t>
      </w:r>
      <w:r w:rsidR="00656E28" w:rsidRPr="005C5D4F">
        <w:rPr>
          <w:b/>
          <w:bCs/>
        </w:rPr>
        <w:t xml:space="preserve"> </w:t>
      </w:r>
      <w:r w:rsidRPr="005C5D4F">
        <w:rPr>
          <w:b/>
          <w:bCs/>
        </w:rPr>
        <w:t xml:space="preserve">so that the </w:t>
      </w:r>
      <w:r w:rsidR="00656E28" w:rsidRPr="005C5D4F">
        <w:rPr>
          <w:b/>
          <w:bCs/>
        </w:rPr>
        <w:t xml:space="preserve">Panel </w:t>
      </w:r>
      <w:r w:rsidRPr="005C5D4F">
        <w:rPr>
          <w:b/>
          <w:bCs/>
        </w:rPr>
        <w:t>has a clearer conception of what this might entail when enacted.</w:t>
      </w:r>
      <w:r w:rsidR="007050A9" w:rsidRPr="005C5D4F">
        <w:rPr>
          <w:b/>
          <w:bCs/>
        </w:rPr>
        <w:t xml:space="preserve"> </w:t>
      </w:r>
    </w:p>
    <w:p w14:paraId="6509CB30" w14:textId="29BB47D2" w:rsidR="00056A2C" w:rsidRDefault="00FE7923" w:rsidP="00056A2C">
      <w:pPr>
        <w:numPr>
          <w:ilvl w:val="1"/>
          <w:numId w:val="2"/>
        </w:numPr>
      </w:pPr>
      <w:r>
        <w:t xml:space="preserve">The Panel kindly notes that the department </w:t>
      </w:r>
      <w:r w:rsidR="00056A2C">
        <w:t xml:space="preserve">might want to keep enrollment numbers in mind </w:t>
      </w:r>
      <w:r>
        <w:t>as the certificate develops</w:t>
      </w:r>
      <w:r w:rsidR="002464B0">
        <w:t>; t</w:t>
      </w:r>
      <w:r>
        <w:t xml:space="preserve">he </w:t>
      </w:r>
      <w:r w:rsidR="00056A2C">
        <w:t xml:space="preserve">existing number of sections </w:t>
      </w:r>
      <w:r>
        <w:t xml:space="preserve">for many of the courses the certificate requires </w:t>
      </w:r>
      <w:r w:rsidR="00056A2C">
        <w:t xml:space="preserve">are already </w:t>
      </w:r>
      <w:r>
        <w:t>at capacity, so it may be necessary to add additional sections to accommodate anticipated increase in demand.</w:t>
      </w:r>
      <w:r w:rsidR="00056A2C">
        <w:t xml:space="preserve"> </w:t>
      </w:r>
    </w:p>
    <w:p w14:paraId="402B3C0B" w14:textId="35631E8D" w:rsidR="00D84560" w:rsidRPr="005E3616" w:rsidRDefault="00ED788E" w:rsidP="00056A2C">
      <w:pPr>
        <w:numPr>
          <w:ilvl w:val="1"/>
          <w:numId w:val="2"/>
        </w:numPr>
      </w:pPr>
      <w:r>
        <w:t xml:space="preserve">Nathanson, Guada; </w:t>
      </w:r>
      <w:r w:rsidRPr="004B2257">
        <w:rPr>
          <w:b/>
          <w:bCs/>
        </w:rPr>
        <w:t>unanimously approved</w:t>
      </w:r>
      <w:r>
        <w:t xml:space="preserve"> with </w:t>
      </w:r>
      <w:r>
        <w:rPr>
          <w:b/>
          <w:bCs/>
        </w:rPr>
        <w:t>one</w:t>
      </w:r>
      <w:r w:rsidRPr="0022609B">
        <w:rPr>
          <w:b/>
          <w:bCs/>
        </w:rPr>
        <w:t xml:space="preserve"> (</w:t>
      </w:r>
      <w:r>
        <w:rPr>
          <w:b/>
          <w:bCs/>
        </w:rPr>
        <w:t>1</w:t>
      </w:r>
      <w:r w:rsidRPr="0022609B">
        <w:rPr>
          <w:b/>
          <w:bCs/>
        </w:rPr>
        <w:t>) contingenc</w:t>
      </w:r>
      <w:r>
        <w:rPr>
          <w:b/>
          <w:bCs/>
        </w:rPr>
        <w:t>y</w:t>
      </w:r>
      <w:r>
        <w:t xml:space="preserve"> (in bold above) and one (1) comment</w:t>
      </w:r>
    </w:p>
    <w:p w14:paraId="2CD45092" w14:textId="6566D504" w:rsidR="005E3616" w:rsidRDefault="005E3616" w:rsidP="005E3616">
      <w:pPr>
        <w:numPr>
          <w:ilvl w:val="0"/>
          <w:numId w:val="2"/>
        </w:numPr>
      </w:pPr>
      <w:r w:rsidRPr="005E3616">
        <w:t>Sociology 4462 (course number change from 5000-level; change credit hours from 3 to 4; requesting GE Theme: Citizenship &amp; GE Theme: Health and Wellbeing with Research and Creative Inquiry)</w:t>
      </w:r>
    </w:p>
    <w:p w14:paraId="514D0604" w14:textId="048A2D69" w:rsidR="00595397" w:rsidRDefault="002F19DF" w:rsidP="00595397">
      <w:pPr>
        <w:pStyle w:val="ListParagraph"/>
        <w:numPr>
          <w:ilvl w:val="1"/>
          <w:numId w:val="2"/>
        </w:numPr>
        <w:spacing w:after="0"/>
        <w:rPr>
          <w:b/>
          <w:bCs/>
        </w:rPr>
      </w:pPr>
      <w:r w:rsidRPr="00B66D61">
        <w:rPr>
          <w:b/>
          <w:bCs/>
        </w:rPr>
        <w:t xml:space="preserve">The Panel asks </w:t>
      </w:r>
      <w:r w:rsidR="00C214EE" w:rsidRPr="00B66D61">
        <w:rPr>
          <w:b/>
          <w:bCs/>
        </w:rPr>
        <w:t xml:space="preserve">for clarification regarding how often the class will meet per week.  If </w:t>
      </w:r>
      <w:r w:rsidR="00595397" w:rsidRPr="00B66D61">
        <w:rPr>
          <w:b/>
          <w:bCs/>
        </w:rPr>
        <w:t>meetings occur more than once a week, then</w:t>
      </w:r>
      <w:r w:rsidRPr="00B66D61">
        <w:rPr>
          <w:b/>
          <w:bCs/>
        </w:rPr>
        <w:t xml:space="preserve"> </w:t>
      </w:r>
      <w:r w:rsidR="00595397" w:rsidRPr="00B66D61">
        <w:rPr>
          <w:b/>
          <w:bCs/>
        </w:rPr>
        <w:t>the course calendar should outline in detail benchmarks and expectations for students on a day-by-day basis rather than weekly.</w:t>
      </w:r>
    </w:p>
    <w:p w14:paraId="43FCCDF1" w14:textId="3D9DC493" w:rsidR="00885502" w:rsidRDefault="00885502" w:rsidP="00595397">
      <w:pPr>
        <w:pStyle w:val="ListParagraph"/>
        <w:numPr>
          <w:ilvl w:val="1"/>
          <w:numId w:val="2"/>
        </w:numPr>
        <w:spacing w:after="0"/>
        <w:rPr>
          <w:b/>
          <w:bCs/>
        </w:rPr>
      </w:pPr>
      <w:r>
        <w:rPr>
          <w:b/>
          <w:bCs/>
        </w:rPr>
        <w:t>The Panel requests additional information about the lab component of the course, including:</w:t>
      </w:r>
    </w:p>
    <w:p w14:paraId="688B1AEF" w14:textId="71B5800A" w:rsidR="00885502" w:rsidRDefault="00885502" w:rsidP="00885502">
      <w:pPr>
        <w:pStyle w:val="ListParagraph"/>
        <w:numPr>
          <w:ilvl w:val="2"/>
          <w:numId w:val="2"/>
        </w:numPr>
        <w:spacing w:after="0"/>
        <w:rPr>
          <w:b/>
          <w:bCs/>
        </w:rPr>
      </w:pPr>
      <w:r>
        <w:rPr>
          <w:b/>
          <w:bCs/>
        </w:rPr>
        <w:t>What days/times will labs meet and for how long</w:t>
      </w:r>
    </w:p>
    <w:p w14:paraId="62D32FC6" w14:textId="5AFDE0E3" w:rsidR="00885502" w:rsidRDefault="00885502" w:rsidP="008F4AE1">
      <w:pPr>
        <w:pStyle w:val="ListParagraph"/>
        <w:numPr>
          <w:ilvl w:val="2"/>
          <w:numId w:val="2"/>
        </w:numPr>
        <w:spacing w:after="0"/>
        <w:rPr>
          <w:b/>
          <w:bCs/>
        </w:rPr>
      </w:pPr>
      <w:r>
        <w:rPr>
          <w:b/>
          <w:bCs/>
        </w:rPr>
        <w:t>What are the topics for each lab meeting?</w:t>
      </w:r>
      <w:r w:rsidR="008F4AE1">
        <w:rPr>
          <w:b/>
          <w:bCs/>
        </w:rPr>
        <w:t xml:space="preserve">  </w:t>
      </w:r>
    </w:p>
    <w:p w14:paraId="58A95BF9" w14:textId="6A2A2D47" w:rsidR="008F4AE1" w:rsidRDefault="008F4AE1" w:rsidP="008F4AE1">
      <w:pPr>
        <w:pStyle w:val="ListParagraph"/>
        <w:numPr>
          <w:ilvl w:val="2"/>
          <w:numId w:val="2"/>
        </w:numPr>
        <w:spacing w:after="0"/>
        <w:rPr>
          <w:b/>
          <w:bCs/>
        </w:rPr>
      </w:pPr>
      <w:r>
        <w:rPr>
          <w:b/>
          <w:bCs/>
        </w:rPr>
        <w:t>Who runs the labs?  A TA?</w:t>
      </w:r>
    </w:p>
    <w:p w14:paraId="6F17E731" w14:textId="08EE3EFB" w:rsidR="008F4AE1" w:rsidRDefault="008F4AE1" w:rsidP="008F4AE1">
      <w:pPr>
        <w:pStyle w:val="ListParagraph"/>
        <w:numPr>
          <w:ilvl w:val="2"/>
          <w:numId w:val="2"/>
        </w:numPr>
        <w:spacing w:after="0"/>
        <w:rPr>
          <w:b/>
          <w:bCs/>
        </w:rPr>
      </w:pPr>
      <w:r>
        <w:rPr>
          <w:b/>
          <w:bCs/>
        </w:rPr>
        <w:t>What happens during labs?</w:t>
      </w:r>
    </w:p>
    <w:p w14:paraId="36F2E0A0" w14:textId="328A1F8C" w:rsidR="008F4AE1" w:rsidRDefault="008F4AE1" w:rsidP="008F4AE1">
      <w:pPr>
        <w:pStyle w:val="ListParagraph"/>
        <w:numPr>
          <w:ilvl w:val="2"/>
          <w:numId w:val="2"/>
        </w:numPr>
        <w:spacing w:after="0"/>
        <w:rPr>
          <w:b/>
          <w:bCs/>
        </w:rPr>
      </w:pPr>
      <w:r>
        <w:rPr>
          <w:b/>
          <w:bCs/>
        </w:rPr>
        <w:t>What do “lab assignments” entail?</w:t>
      </w:r>
    </w:p>
    <w:p w14:paraId="77E9118D" w14:textId="77777777" w:rsidR="008F4AE1" w:rsidRPr="008F4AE1" w:rsidRDefault="008F4AE1" w:rsidP="008F4AE1">
      <w:pPr>
        <w:pStyle w:val="ListParagraph"/>
        <w:spacing w:after="0"/>
        <w:ind w:left="2160"/>
        <w:rPr>
          <w:b/>
          <w:bCs/>
        </w:rPr>
      </w:pPr>
    </w:p>
    <w:p w14:paraId="3E6A256F" w14:textId="610D7E81" w:rsidR="00737722" w:rsidRDefault="00737722" w:rsidP="00737722">
      <w:pPr>
        <w:numPr>
          <w:ilvl w:val="1"/>
          <w:numId w:val="2"/>
        </w:numPr>
        <w:spacing w:line="256" w:lineRule="auto"/>
        <w:rPr>
          <w:b/>
          <w:bCs/>
        </w:rPr>
      </w:pPr>
      <w:r>
        <w:rPr>
          <w:b/>
          <w:bCs/>
        </w:rPr>
        <w:lastRenderedPageBreak/>
        <w:t>The Panel requests that the course schedule be amended to include the page-range amounts required for each assigned reading.</w:t>
      </w:r>
    </w:p>
    <w:p w14:paraId="5DBB0602" w14:textId="532444F3" w:rsidR="0035441F" w:rsidRPr="00241571" w:rsidRDefault="004C3B09" w:rsidP="0035441F">
      <w:pPr>
        <w:numPr>
          <w:ilvl w:val="1"/>
          <w:numId w:val="2"/>
        </w:numPr>
        <w:rPr>
          <w:b/>
          <w:bCs/>
        </w:rPr>
      </w:pPr>
      <w:r w:rsidRPr="00241571">
        <w:rPr>
          <w:b/>
          <w:bCs/>
        </w:rPr>
        <w:t>The Panel asks that the syllabus include clarifying information regarding the “poster session”</w:t>
      </w:r>
      <w:r w:rsidR="0035441F" w:rsidRPr="00241571">
        <w:rPr>
          <w:b/>
          <w:bCs/>
        </w:rPr>
        <w:t xml:space="preserve"> </w:t>
      </w:r>
      <w:r w:rsidRPr="00241571">
        <w:rPr>
          <w:b/>
          <w:bCs/>
        </w:rPr>
        <w:t xml:space="preserve">that appears </w:t>
      </w:r>
      <w:r w:rsidR="0035441F" w:rsidRPr="00241571">
        <w:rPr>
          <w:b/>
          <w:bCs/>
        </w:rPr>
        <w:t>on week 15</w:t>
      </w:r>
      <w:r w:rsidRPr="00241571">
        <w:rPr>
          <w:b/>
          <w:bCs/>
        </w:rPr>
        <w:t xml:space="preserve"> of the course calendar:</w:t>
      </w:r>
      <w:r w:rsidR="0035441F" w:rsidRPr="00241571">
        <w:rPr>
          <w:b/>
          <w:bCs/>
        </w:rPr>
        <w:t xml:space="preserve">  </w:t>
      </w:r>
      <w:r w:rsidRPr="00241571">
        <w:rPr>
          <w:b/>
          <w:bCs/>
        </w:rPr>
        <w:t>Is the poster session an additional assignment?  Is it graded?  Is it part of a lab assignment?  If the poster session is in fact another assignment, it should be included in the syllabus’ assignment summary breakdown</w:t>
      </w:r>
      <w:r w:rsidR="00BC7C28" w:rsidRPr="00241571">
        <w:rPr>
          <w:b/>
          <w:bCs/>
        </w:rPr>
        <w:t xml:space="preserve"> for the course</w:t>
      </w:r>
      <w:r w:rsidRPr="00241571">
        <w:rPr>
          <w:b/>
          <w:bCs/>
        </w:rPr>
        <w:t>.</w:t>
      </w:r>
    </w:p>
    <w:p w14:paraId="49F6AF1E" w14:textId="7D6EE32A" w:rsidR="003F7E62" w:rsidRPr="003C7B3E" w:rsidRDefault="00B218DA" w:rsidP="00D93A57">
      <w:pPr>
        <w:numPr>
          <w:ilvl w:val="1"/>
          <w:numId w:val="2"/>
        </w:numPr>
        <w:rPr>
          <w:b/>
          <w:bCs/>
        </w:rPr>
      </w:pPr>
      <w:r w:rsidRPr="003C7B3E">
        <w:rPr>
          <w:b/>
          <w:bCs/>
        </w:rPr>
        <w:t xml:space="preserve">Are quizzes pop or scheduled in this course?  The Panel </w:t>
      </w:r>
      <w:r w:rsidR="003C7B3E">
        <w:rPr>
          <w:b/>
          <w:bCs/>
        </w:rPr>
        <w:t>requests clarification on</w:t>
      </w:r>
      <w:r w:rsidRPr="003C7B3E">
        <w:rPr>
          <w:b/>
          <w:bCs/>
        </w:rPr>
        <w:t xml:space="preserve"> this detail – and if the quizzes are in fact scheduled, the Panel </w:t>
      </w:r>
      <w:r w:rsidR="003C7B3E">
        <w:rPr>
          <w:b/>
          <w:bCs/>
        </w:rPr>
        <w:t>asks that the</w:t>
      </w:r>
      <w:r w:rsidRPr="003C7B3E">
        <w:rPr>
          <w:b/>
          <w:bCs/>
        </w:rPr>
        <w:t xml:space="preserve"> dates each will occur</w:t>
      </w:r>
      <w:r w:rsidR="003C7B3E">
        <w:rPr>
          <w:b/>
          <w:bCs/>
        </w:rPr>
        <w:t xml:space="preserve"> be added</w:t>
      </w:r>
      <w:r w:rsidRPr="003C7B3E">
        <w:rPr>
          <w:b/>
          <w:bCs/>
        </w:rPr>
        <w:t xml:space="preserve"> to the course calendar</w:t>
      </w:r>
      <w:r w:rsidR="00B20D9D" w:rsidRPr="003C7B3E">
        <w:rPr>
          <w:b/>
          <w:bCs/>
        </w:rPr>
        <w:t xml:space="preserve"> so students can plan accordingly</w:t>
      </w:r>
      <w:r w:rsidRPr="003C7B3E">
        <w:rPr>
          <w:b/>
          <w:bCs/>
        </w:rPr>
        <w:t xml:space="preserve">. </w:t>
      </w:r>
    </w:p>
    <w:p w14:paraId="3C115B04" w14:textId="2E62F995" w:rsidR="00122247" w:rsidRDefault="004A5B23" w:rsidP="00D93A57">
      <w:pPr>
        <w:numPr>
          <w:ilvl w:val="1"/>
          <w:numId w:val="2"/>
        </w:numPr>
      </w:pPr>
      <w:r>
        <w:rPr>
          <w:i/>
          <w:iCs/>
        </w:rPr>
        <w:t xml:space="preserve">The Panel recommends </w:t>
      </w:r>
      <w:r w:rsidR="00AF2FBF">
        <w:rPr>
          <w:i/>
          <w:iCs/>
        </w:rPr>
        <w:t xml:space="preserve">that the syllabus explain </w:t>
      </w:r>
      <w:r>
        <w:rPr>
          <w:i/>
          <w:iCs/>
        </w:rPr>
        <w:t xml:space="preserve">why the course will count for 4 credits rather than 3, and how the </w:t>
      </w:r>
      <w:r w:rsidR="0018754E">
        <w:rPr>
          <w:i/>
          <w:iCs/>
        </w:rPr>
        <w:t>class</w:t>
      </w:r>
      <w:r>
        <w:rPr>
          <w:i/>
          <w:iCs/>
        </w:rPr>
        <w:t xml:space="preserve"> workload reflects </w:t>
      </w:r>
      <w:r w:rsidR="0018754E">
        <w:rPr>
          <w:i/>
          <w:iCs/>
        </w:rPr>
        <w:t>the fact that</w:t>
      </w:r>
      <w:r>
        <w:rPr>
          <w:i/>
          <w:iCs/>
        </w:rPr>
        <w:t xml:space="preserve"> students will earn this additional credit.  </w:t>
      </w:r>
    </w:p>
    <w:p w14:paraId="7634DAA7" w14:textId="63F107DD" w:rsidR="00453B80" w:rsidRPr="00453B80" w:rsidRDefault="00453B80" w:rsidP="00453B80">
      <w:pPr>
        <w:pStyle w:val="ListParagraph"/>
        <w:numPr>
          <w:ilvl w:val="1"/>
          <w:numId w:val="2"/>
        </w:numPr>
        <w:rPr>
          <w:i/>
          <w:iCs/>
        </w:rPr>
      </w:pPr>
      <w:r w:rsidRPr="00453B80">
        <w:rPr>
          <w:i/>
          <w:iCs/>
        </w:rPr>
        <w:t xml:space="preserve">The Panel recommends that the department include the most up-to-date version of the University’s Title IX statement, which can be found here: </w:t>
      </w:r>
      <w:hyperlink r:id="rId6" w:history="1">
        <w:r w:rsidRPr="00453B80">
          <w:rPr>
            <w:rStyle w:val="Hyperlink"/>
            <w:i/>
            <w:iCs/>
          </w:rPr>
          <w:t>https://asccas.osu.edu/curriculum/syllabus-elements</w:t>
        </w:r>
      </w:hyperlink>
      <w:r w:rsidRPr="00453B80">
        <w:rPr>
          <w:i/>
          <w:iCs/>
        </w:rPr>
        <w:t xml:space="preserve"> </w:t>
      </w:r>
    </w:p>
    <w:p w14:paraId="3B45DEA0" w14:textId="1E21A299" w:rsidR="0057227A" w:rsidRPr="005E3616" w:rsidRDefault="009F262C" w:rsidP="00D93A57">
      <w:pPr>
        <w:numPr>
          <w:ilvl w:val="1"/>
          <w:numId w:val="2"/>
        </w:numPr>
      </w:pPr>
      <w:r>
        <w:t xml:space="preserve">Guada, Vasey; </w:t>
      </w:r>
      <w:r>
        <w:rPr>
          <w:b/>
          <w:bCs/>
        </w:rPr>
        <w:t xml:space="preserve">unanimously approved </w:t>
      </w:r>
      <w:r w:rsidR="00EF4972">
        <w:t xml:space="preserve">with </w:t>
      </w:r>
      <w:r w:rsidR="00D82426">
        <w:rPr>
          <w:b/>
          <w:bCs/>
        </w:rPr>
        <w:t>five</w:t>
      </w:r>
      <w:r w:rsidR="00EF4972">
        <w:rPr>
          <w:b/>
          <w:bCs/>
        </w:rPr>
        <w:t xml:space="preserve"> (</w:t>
      </w:r>
      <w:r w:rsidR="00D82426">
        <w:rPr>
          <w:b/>
          <w:bCs/>
        </w:rPr>
        <w:t>5</w:t>
      </w:r>
      <w:r w:rsidR="00EF4972">
        <w:rPr>
          <w:b/>
          <w:bCs/>
        </w:rPr>
        <w:t>) contingencies</w:t>
      </w:r>
      <w:r w:rsidR="00EF4972">
        <w:t xml:space="preserve"> (in bold above)</w:t>
      </w:r>
      <w:r>
        <w:t xml:space="preserve"> </w:t>
      </w:r>
      <w:r w:rsidR="00C628A9">
        <w:t xml:space="preserve">and </w:t>
      </w:r>
      <w:r w:rsidR="00C628A9">
        <w:rPr>
          <w:i/>
          <w:iCs/>
        </w:rPr>
        <w:t xml:space="preserve">two (2) recommendations </w:t>
      </w:r>
      <w:r w:rsidR="00C628A9">
        <w:t>(in italics above)</w:t>
      </w:r>
    </w:p>
    <w:p w14:paraId="6823B8F8" w14:textId="52455C7B" w:rsidR="005E3616" w:rsidRDefault="005E3616" w:rsidP="005E3616">
      <w:pPr>
        <w:numPr>
          <w:ilvl w:val="0"/>
          <w:numId w:val="2"/>
        </w:numPr>
      </w:pPr>
      <w:r w:rsidRPr="005E3616">
        <w:t>Sociology 2202 (existing course requesting new GE Foundation: Social and Behavioral Sciences)</w:t>
      </w:r>
    </w:p>
    <w:p w14:paraId="332E22A0" w14:textId="5D228E0E" w:rsidR="00E63DC8" w:rsidRPr="00E63DC8" w:rsidRDefault="00E63DC8" w:rsidP="00E63DC8">
      <w:pPr>
        <w:numPr>
          <w:ilvl w:val="1"/>
          <w:numId w:val="2"/>
        </w:numPr>
        <w:rPr>
          <w:b/>
          <w:bCs/>
        </w:rPr>
      </w:pPr>
      <w:r w:rsidRPr="00E63DC8">
        <w:rPr>
          <w:b/>
          <w:bCs/>
        </w:rPr>
        <w:t xml:space="preserve">The Panel </w:t>
      </w:r>
      <w:r>
        <w:rPr>
          <w:b/>
          <w:bCs/>
        </w:rPr>
        <w:t xml:space="preserve">requests an </w:t>
      </w:r>
      <w:r w:rsidR="00AF2FBF">
        <w:rPr>
          <w:b/>
          <w:bCs/>
        </w:rPr>
        <w:t>addition to the syllabus</w:t>
      </w:r>
      <w:r>
        <w:rPr>
          <w:b/>
          <w:bCs/>
        </w:rPr>
        <w:t xml:space="preserve"> (around 150 words)</w:t>
      </w:r>
      <w:r w:rsidRPr="00E63DC8">
        <w:rPr>
          <w:b/>
          <w:bCs/>
        </w:rPr>
        <w:t xml:space="preserve"> that actively illustrates how specific material in the class – readings, assignments, etc. – engages the ELOs.  While the Panel agrees that the class meets the requirements for the GE Foundation: Social and Behavioral Sciences category, making the implicit links between the ELOs and the course content more explicit would help these connections appear more central to the class as a whole.</w:t>
      </w:r>
    </w:p>
    <w:p w14:paraId="0D4C800D" w14:textId="66E560F5" w:rsidR="00BC6B80" w:rsidRPr="00E669F9" w:rsidRDefault="00E669F9" w:rsidP="00BC6B80">
      <w:pPr>
        <w:numPr>
          <w:ilvl w:val="1"/>
          <w:numId w:val="2"/>
        </w:numPr>
        <w:rPr>
          <w:b/>
          <w:bCs/>
        </w:rPr>
      </w:pPr>
      <w:r w:rsidRPr="00E669F9">
        <w:rPr>
          <w:b/>
          <w:bCs/>
        </w:rPr>
        <w:t xml:space="preserve">The Panel requests that the department upload a syllabus that includes the full and complete goals and ELOs for the GE Foundation: Social and Behavioral Sciences.  The complete list of goals and ELOs are available here:  </w:t>
      </w:r>
      <w:hyperlink r:id="rId7" w:history="1">
        <w:r w:rsidRPr="00E669F9">
          <w:rPr>
            <w:rStyle w:val="Hyperlink"/>
            <w:b/>
            <w:bCs/>
          </w:rPr>
          <w:t>https://oaa.osu.edu/ohio-state-ge-program</w:t>
        </w:r>
      </w:hyperlink>
    </w:p>
    <w:p w14:paraId="31DBBF04" w14:textId="21139203" w:rsidR="005D5972" w:rsidRPr="00CA6D88" w:rsidRDefault="00CA6D88" w:rsidP="00CA6D88">
      <w:pPr>
        <w:pStyle w:val="ListParagraph"/>
        <w:numPr>
          <w:ilvl w:val="1"/>
          <w:numId w:val="6"/>
        </w:numPr>
        <w:spacing w:after="0"/>
        <w:rPr>
          <w:i/>
          <w:iCs/>
        </w:rPr>
      </w:pPr>
      <w:r w:rsidRPr="00CA6D88">
        <w:rPr>
          <w:i/>
          <w:iCs/>
        </w:rPr>
        <w:t>The Panel strongly recommends a course calendar that outlines benchmarks and expectations for students on a day-by-day basis rather than weekly, including, for example, the amount and quantity of course readings due each day, as well as specific due dates for any assignments.</w:t>
      </w:r>
    </w:p>
    <w:p w14:paraId="778F225D" w14:textId="77777777" w:rsidR="00CA6D88" w:rsidRDefault="00CA6D88" w:rsidP="00CA6D88">
      <w:pPr>
        <w:pStyle w:val="ListParagraph"/>
        <w:spacing w:after="0"/>
        <w:ind w:left="1440"/>
      </w:pPr>
    </w:p>
    <w:p w14:paraId="26990B3F" w14:textId="706D7A5D" w:rsidR="00E33BD2" w:rsidRDefault="00B85FA3" w:rsidP="00E33BD2">
      <w:pPr>
        <w:numPr>
          <w:ilvl w:val="1"/>
          <w:numId w:val="2"/>
        </w:numPr>
      </w:pPr>
      <w:r>
        <w:rPr>
          <w:i/>
          <w:iCs/>
        </w:rPr>
        <w:t xml:space="preserve">The Panel strongly recommends </w:t>
      </w:r>
      <w:r w:rsidR="004B5E8B">
        <w:rPr>
          <w:i/>
          <w:iCs/>
        </w:rPr>
        <w:t xml:space="preserve">clarifying how the “drop” policy works for various assignment categories.  For example, are you required to submit all six papers, or can you just opt to do four, anticipating that the other two will </w:t>
      </w:r>
      <w:r w:rsidR="00EC7308">
        <w:rPr>
          <w:i/>
          <w:iCs/>
        </w:rPr>
        <w:t xml:space="preserve">then </w:t>
      </w:r>
      <w:r w:rsidR="004B5E8B">
        <w:rPr>
          <w:i/>
          <w:iCs/>
        </w:rPr>
        <w:t>be dropped?</w:t>
      </w:r>
    </w:p>
    <w:p w14:paraId="10769F7E" w14:textId="161A89E8" w:rsidR="00C80FB5" w:rsidRPr="00BE3E15" w:rsidRDefault="00BE3E15" w:rsidP="00BE3E15">
      <w:pPr>
        <w:pStyle w:val="ListParagraph"/>
        <w:numPr>
          <w:ilvl w:val="1"/>
          <w:numId w:val="2"/>
        </w:numPr>
        <w:rPr>
          <w:i/>
          <w:iCs/>
        </w:rPr>
      </w:pPr>
      <w:r w:rsidRPr="00453B80">
        <w:rPr>
          <w:i/>
          <w:iCs/>
        </w:rPr>
        <w:lastRenderedPageBreak/>
        <w:t xml:space="preserve">The Panel recommends that the department include the most up-to-date version of the University’s Title IX statement, which can be found here: </w:t>
      </w:r>
      <w:hyperlink r:id="rId8" w:history="1">
        <w:r w:rsidRPr="00453B80">
          <w:rPr>
            <w:rStyle w:val="Hyperlink"/>
            <w:i/>
            <w:iCs/>
          </w:rPr>
          <w:t>https://asccas.osu.edu/curriculum/syllabus-elements</w:t>
        </w:r>
      </w:hyperlink>
      <w:r w:rsidRPr="00453B80">
        <w:rPr>
          <w:i/>
          <w:iCs/>
        </w:rPr>
        <w:t xml:space="preserve"> </w:t>
      </w:r>
    </w:p>
    <w:p w14:paraId="5606B604" w14:textId="3B67AB8E" w:rsidR="00C80FB5" w:rsidRDefault="00981C28" w:rsidP="00D54E19">
      <w:pPr>
        <w:numPr>
          <w:ilvl w:val="1"/>
          <w:numId w:val="2"/>
        </w:numPr>
      </w:pPr>
      <w:r>
        <w:rPr>
          <w:i/>
          <w:iCs/>
        </w:rPr>
        <w:t>On the bottom of page 2 of the syllabus, the Panel suggests revising “hearing</w:t>
      </w:r>
      <w:r w:rsidR="00B876F7">
        <w:rPr>
          <w:i/>
          <w:iCs/>
        </w:rPr>
        <w:t>-</w:t>
      </w:r>
      <w:r>
        <w:rPr>
          <w:i/>
          <w:iCs/>
        </w:rPr>
        <w:t xml:space="preserve">impaired” </w:t>
      </w:r>
      <w:r w:rsidR="00B876F7">
        <w:rPr>
          <w:i/>
          <w:iCs/>
        </w:rPr>
        <w:t xml:space="preserve">students </w:t>
      </w:r>
      <w:r>
        <w:rPr>
          <w:i/>
          <w:iCs/>
        </w:rPr>
        <w:t>to instead read “deaf and hard of hearing”</w:t>
      </w:r>
      <w:r w:rsidR="00B876F7">
        <w:rPr>
          <w:i/>
          <w:iCs/>
        </w:rPr>
        <w:t xml:space="preserve"> students.</w:t>
      </w:r>
    </w:p>
    <w:p w14:paraId="10118417" w14:textId="7398E6F3" w:rsidR="00BC6B80" w:rsidRDefault="0089228E" w:rsidP="00D54E19">
      <w:pPr>
        <w:numPr>
          <w:ilvl w:val="1"/>
          <w:numId w:val="2"/>
        </w:numPr>
      </w:pPr>
      <w:r>
        <w:t>The Panel appreciates the clear guidelines and signposting dedicated to each individual assignment.</w:t>
      </w:r>
    </w:p>
    <w:p w14:paraId="04878EC0" w14:textId="7420AF53" w:rsidR="008D0B97" w:rsidRDefault="00DF2718" w:rsidP="00D54E19">
      <w:pPr>
        <w:numPr>
          <w:ilvl w:val="1"/>
          <w:numId w:val="2"/>
        </w:numPr>
      </w:pPr>
      <w:r>
        <w:t>The P</w:t>
      </w:r>
      <w:r w:rsidR="008D0B97">
        <w:t xml:space="preserve">anel commends </w:t>
      </w:r>
      <w:r>
        <w:t xml:space="preserve">the inclusion of a </w:t>
      </w:r>
      <w:r w:rsidR="008D0B97">
        <w:t xml:space="preserve">variety of activities </w:t>
      </w:r>
      <w:r>
        <w:t>that facilitate</w:t>
      </w:r>
      <w:r w:rsidR="008D0B97">
        <w:t xml:space="preserve"> student interaction with each other as well as </w:t>
      </w:r>
      <w:r>
        <w:t xml:space="preserve">the </w:t>
      </w:r>
      <w:r w:rsidR="008D0B97">
        <w:t>course material</w:t>
      </w:r>
      <w:r>
        <w:t>.</w:t>
      </w:r>
    </w:p>
    <w:p w14:paraId="3687DC1B" w14:textId="0D5F6874" w:rsidR="00E64BD3" w:rsidRPr="005E3616" w:rsidRDefault="00E64BD3" w:rsidP="00E64BD3">
      <w:pPr>
        <w:numPr>
          <w:ilvl w:val="1"/>
          <w:numId w:val="2"/>
        </w:numPr>
      </w:pPr>
      <w:r>
        <w:t xml:space="preserve">Nathanson, Vasey; </w:t>
      </w:r>
      <w:r>
        <w:rPr>
          <w:b/>
          <w:bCs/>
        </w:rPr>
        <w:t xml:space="preserve">unanimously approved </w:t>
      </w:r>
      <w:r w:rsidR="00CD72CD">
        <w:t xml:space="preserve">with </w:t>
      </w:r>
      <w:r w:rsidR="00CD72CD">
        <w:rPr>
          <w:b/>
          <w:bCs/>
        </w:rPr>
        <w:t xml:space="preserve">two (2) contingencies </w:t>
      </w:r>
      <w:r w:rsidR="00CD72CD">
        <w:t xml:space="preserve">(in bold above), </w:t>
      </w:r>
      <w:r w:rsidR="00CD72CD">
        <w:rPr>
          <w:i/>
          <w:iCs/>
        </w:rPr>
        <w:t xml:space="preserve">four (4) recommendations </w:t>
      </w:r>
      <w:r w:rsidR="00CD72CD">
        <w:t>(in italics above), and</w:t>
      </w:r>
      <w:r w:rsidR="00A8072B">
        <w:t xml:space="preserve"> </w:t>
      </w:r>
      <w:r w:rsidR="00E33BD2">
        <w:t>two (2) comments</w:t>
      </w:r>
    </w:p>
    <w:p w14:paraId="3D7BEA52" w14:textId="1B1F3B5C" w:rsidR="005E3616" w:rsidRDefault="005E3616" w:rsidP="005E3616">
      <w:pPr>
        <w:numPr>
          <w:ilvl w:val="0"/>
          <w:numId w:val="2"/>
        </w:numPr>
      </w:pPr>
      <w:r w:rsidRPr="005E3616">
        <w:t>Sociology 2209 (existing course requesting new GE Foundation: Social and Behavioral Sciences)</w:t>
      </w:r>
    </w:p>
    <w:p w14:paraId="1834EC5A" w14:textId="2D5B8B01" w:rsidR="003F3CA1" w:rsidRDefault="00413283" w:rsidP="00DC55F6">
      <w:pPr>
        <w:numPr>
          <w:ilvl w:val="1"/>
          <w:numId w:val="2"/>
        </w:numPr>
      </w:pPr>
      <w:r>
        <w:rPr>
          <w:i/>
          <w:iCs/>
        </w:rPr>
        <w:t xml:space="preserve">The Panel strongly recommends </w:t>
      </w:r>
      <w:r w:rsidR="00AF2FBF">
        <w:rPr>
          <w:i/>
          <w:iCs/>
        </w:rPr>
        <w:t>an addition to the syllabus</w:t>
      </w:r>
      <w:r>
        <w:rPr>
          <w:i/>
          <w:iCs/>
        </w:rPr>
        <w:t xml:space="preserve"> that actively illustrates how specific material in the class – readings, assignments, etc. – engages the ELOs.  While the Panel agrees that the class meets the requirements for the GE Foundation: Social and Behavioral Sciences category, making the implicit links between the ELOs and the course content more explicit </w:t>
      </w:r>
      <w:r w:rsidR="001718F9">
        <w:rPr>
          <w:i/>
          <w:iCs/>
        </w:rPr>
        <w:t>would help these connections appear more central to the class as a whole</w:t>
      </w:r>
      <w:r>
        <w:rPr>
          <w:i/>
          <w:iCs/>
        </w:rPr>
        <w:t>.</w:t>
      </w:r>
    </w:p>
    <w:p w14:paraId="043496A5" w14:textId="3E93E5DE" w:rsidR="00C77B5A" w:rsidRDefault="00AA4FFA" w:rsidP="00DC55F6">
      <w:pPr>
        <w:numPr>
          <w:ilvl w:val="1"/>
          <w:numId w:val="2"/>
        </w:numPr>
      </w:pPr>
      <w:r>
        <w:rPr>
          <w:i/>
          <w:iCs/>
        </w:rPr>
        <w:t>On page 4 of the syllabus, duplicate information about the ELOs appears halfway down the page.  The Panel recommends removing this section since it is not necessary to relay ELOs twice in the syllabus.</w:t>
      </w:r>
    </w:p>
    <w:p w14:paraId="24AEEADF" w14:textId="46E82D83" w:rsidR="003B6E92" w:rsidRDefault="0042772C" w:rsidP="003B6E92">
      <w:pPr>
        <w:numPr>
          <w:ilvl w:val="1"/>
          <w:numId w:val="2"/>
        </w:numPr>
      </w:pPr>
      <w:r>
        <w:t>The Panel applauds the crisp, clear presentation of the goals and ELOs in the table that appears on the first page of the syllabus.</w:t>
      </w:r>
    </w:p>
    <w:p w14:paraId="39F67C24" w14:textId="3B74EA07" w:rsidR="0072634B" w:rsidRPr="005E3616" w:rsidRDefault="003F64F3" w:rsidP="00DC55F6">
      <w:pPr>
        <w:numPr>
          <w:ilvl w:val="1"/>
          <w:numId w:val="2"/>
        </w:numPr>
      </w:pPr>
      <w:r>
        <w:t xml:space="preserve">Guada, Vasey; </w:t>
      </w:r>
      <w:r>
        <w:rPr>
          <w:b/>
          <w:bCs/>
        </w:rPr>
        <w:t xml:space="preserve">unanimously approved </w:t>
      </w:r>
      <w:r w:rsidR="00EB3CB1">
        <w:t xml:space="preserve">with </w:t>
      </w:r>
      <w:r w:rsidR="00EB3CB1" w:rsidRPr="00EB3CB1">
        <w:rPr>
          <w:i/>
          <w:iCs/>
        </w:rPr>
        <w:t>two (2) recommendations</w:t>
      </w:r>
      <w:r w:rsidR="00EB3CB1">
        <w:t xml:space="preserve"> (in italics above) </w:t>
      </w:r>
      <w:r w:rsidR="003D2BFD">
        <w:t>and one (1) comment</w:t>
      </w:r>
    </w:p>
    <w:p w14:paraId="55D918AA" w14:textId="74106EC8" w:rsidR="005E3616" w:rsidRDefault="005E3616" w:rsidP="005E3616">
      <w:pPr>
        <w:numPr>
          <w:ilvl w:val="0"/>
          <w:numId w:val="2"/>
        </w:numPr>
      </w:pPr>
      <w:r w:rsidRPr="005E3616">
        <w:t>Sociology 3410 (existing course requesting 100% DL)</w:t>
      </w:r>
    </w:p>
    <w:p w14:paraId="78F495FA" w14:textId="77777777" w:rsidR="001559C5" w:rsidRPr="00E929BC" w:rsidRDefault="001559C5" w:rsidP="00E929BC">
      <w:pPr>
        <w:numPr>
          <w:ilvl w:val="1"/>
          <w:numId w:val="2"/>
        </w:numPr>
        <w:spacing w:after="0"/>
      </w:pPr>
      <w:r>
        <w:rPr>
          <w:b/>
          <w:bCs/>
        </w:rPr>
        <w:t>The Panel requests that the syllabus clarify how and where students will compose and submit homework, quizzes, exams, and the final writing assignment.</w:t>
      </w:r>
    </w:p>
    <w:p w14:paraId="2E9595D3" w14:textId="77777777" w:rsidR="00E929BC" w:rsidRDefault="00E929BC" w:rsidP="00E929BC">
      <w:pPr>
        <w:spacing w:after="0"/>
        <w:rPr>
          <w:b/>
          <w:bCs/>
        </w:rPr>
      </w:pPr>
    </w:p>
    <w:p w14:paraId="6FBA6997" w14:textId="5A2A94A6" w:rsidR="00E929BC" w:rsidRPr="001559C5" w:rsidRDefault="00E929BC" w:rsidP="00E929BC">
      <w:pPr>
        <w:spacing w:after="0"/>
        <w:sectPr w:rsidR="00E929BC" w:rsidRPr="001559C5" w:rsidSect="001559C5">
          <w:type w:val="continuous"/>
          <w:pgSz w:w="12240" w:h="15840"/>
          <w:pgMar w:top="1440" w:right="1440" w:bottom="1440" w:left="1440" w:header="720" w:footer="720" w:gutter="0"/>
          <w:cols w:space="720"/>
          <w:docGrid w:linePitch="360"/>
        </w:sectPr>
      </w:pPr>
    </w:p>
    <w:p w14:paraId="5FC29022" w14:textId="34831BFF" w:rsidR="00BB2595" w:rsidRDefault="00BB2595" w:rsidP="00BB2595">
      <w:pPr>
        <w:pStyle w:val="ListParagraph"/>
        <w:numPr>
          <w:ilvl w:val="1"/>
          <w:numId w:val="2"/>
        </w:numPr>
        <w:spacing w:after="0"/>
        <w:rPr>
          <w:b/>
          <w:bCs/>
        </w:rPr>
      </w:pPr>
      <w:r w:rsidRPr="00BB2595">
        <w:rPr>
          <w:b/>
          <w:bCs/>
        </w:rPr>
        <w:t>The Panel asks that the course calendar outline in detail benchmarks and expectations for students on a day-by-day basis (rather than weekly), including specific due dates for any assignments.</w:t>
      </w:r>
    </w:p>
    <w:p w14:paraId="24D5D54A" w14:textId="77777777" w:rsidR="001559C5" w:rsidRPr="00BB2595" w:rsidRDefault="001559C5" w:rsidP="001559C5">
      <w:pPr>
        <w:pStyle w:val="ListParagraph"/>
        <w:spacing w:after="0"/>
        <w:ind w:left="1440"/>
        <w:rPr>
          <w:b/>
          <w:bCs/>
        </w:rPr>
      </w:pPr>
    </w:p>
    <w:p w14:paraId="761ACBC5" w14:textId="6B882422" w:rsidR="00737722" w:rsidRDefault="00737722" w:rsidP="00737722">
      <w:pPr>
        <w:numPr>
          <w:ilvl w:val="1"/>
          <w:numId w:val="2"/>
        </w:numPr>
        <w:spacing w:line="256" w:lineRule="auto"/>
        <w:rPr>
          <w:b/>
          <w:bCs/>
        </w:rPr>
      </w:pPr>
      <w:r>
        <w:rPr>
          <w:b/>
          <w:bCs/>
        </w:rPr>
        <w:t xml:space="preserve">The Panel requests that the course schedule </w:t>
      </w:r>
      <w:r w:rsidR="00AA1D6C">
        <w:rPr>
          <w:b/>
          <w:bCs/>
        </w:rPr>
        <w:t xml:space="preserve">also </w:t>
      </w:r>
      <w:r>
        <w:rPr>
          <w:b/>
          <w:bCs/>
        </w:rPr>
        <w:t>be amended to include the page-range amounts required for each assigned reading.</w:t>
      </w:r>
    </w:p>
    <w:p w14:paraId="743F3396" w14:textId="0BEF5ACE" w:rsidR="00FB4D8C" w:rsidRPr="000806DC" w:rsidRDefault="00FB4D8C" w:rsidP="00FB4D8C">
      <w:pPr>
        <w:pStyle w:val="ListParagraph"/>
        <w:numPr>
          <w:ilvl w:val="1"/>
          <w:numId w:val="2"/>
        </w:numPr>
        <w:rPr>
          <w:i/>
          <w:iCs/>
        </w:rPr>
      </w:pPr>
      <w:r w:rsidRPr="000806DC">
        <w:rPr>
          <w:i/>
          <w:iCs/>
        </w:rPr>
        <w:lastRenderedPageBreak/>
        <w:t xml:space="preserve">The Panel </w:t>
      </w:r>
      <w:r>
        <w:rPr>
          <w:i/>
          <w:iCs/>
        </w:rPr>
        <w:t>strongly recommends</w:t>
      </w:r>
      <w:r w:rsidRPr="000806DC">
        <w:rPr>
          <w:i/>
          <w:iCs/>
        </w:rPr>
        <w:t xml:space="preserve"> exploring community building exercises for students to become further engaged within the course and potentially utilizing the following resources: </w:t>
      </w:r>
    </w:p>
    <w:p w14:paraId="37AB0764" w14:textId="77777777" w:rsidR="00FB4D8C" w:rsidRPr="000806DC" w:rsidRDefault="00FB4D8C" w:rsidP="00FB4D8C">
      <w:pPr>
        <w:pStyle w:val="ListParagraph"/>
        <w:numPr>
          <w:ilvl w:val="2"/>
          <w:numId w:val="8"/>
        </w:numPr>
        <w:rPr>
          <w:i/>
          <w:iCs/>
        </w:rPr>
      </w:pPr>
      <w:r w:rsidRPr="000806DC">
        <w:rPr>
          <w:i/>
          <w:iCs/>
        </w:rPr>
        <w:t xml:space="preserve">The College of Arts and Sciences Office of Distance Education (ASC ODE) offers consultation with their instructional designers. Please visit </w:t>
      </w:r>
      <w:hyperlink r:id="rId9" w:history="1">
        <w:r w:rsidRPr="000806DC">
          <w:rPr>
            <w:rStyle w:val="Hyperlink"/>
            <w:i/>
            <w:iCs/>
          </w:rPr>
          <w:t>https://ascode.osu.edu/consultation</w:t>
        </w:r>
      </w:hyperlink>
      <w:r w:rsidRPr="000806DC">
        <w:rPr>
          <w:i/>
          <w:iCs/>
        </w:rPr>
        <w:t xml:space="preserve"> for further information and how to schedule one of these consultations. </w:t>
      </w:r>
    </w:p>
    <w:p w14:paraId="37475195" w14:textId="77777777" w:rsidR="00FB4D8C" w:rsidRPr="000806DC" w:rsidRDefault="00FB4D8C" w:rsidP="00FB4D8C">
      <w:pPr>
        <w:pStyle w:val="ListParagraph"/>
        <w:numPr>
          <w:ilvl w:val="2"/>
          <w:numId w:val="8"/>
        </w:numPr>
        <w:spacing w:after="0"/>
        <w:rPr>
          <w:i/>
          <w:iCs/>
        </w:rPr>
      </w:pPr>
      <w:r w:rsidRPr="000806DC">
        <w:rPr>
          <w:i/>
          <w:iCs/>
        </w:rPr>
        <w:t xml:space="preserve">The following resources from the Teaching and Learning Resource website may be of particular interest to explore the facilitation of community within courses, as recommended by Distance Educator Coordinator Jeremie Smith: </w:t>
      </w:r>
    </w:p>
    <w:p w14:paraId="46119B31" w14:textId="77777777" w:rsidR="00FB4D8C" w:rsidRPr="000806DC" w:rsidRDefault="00FB4D8C" w:rsidP="00FB4D8C">
      <w:pPr>
        <w:pStyle w:val="ListParagraph"/>
        <w:numPr>
          <w:ilvl w:val="3"/>
          <w:numId w:val="2"/>
        </w:numPr>
        <w:spacing w:after="0"/>
        <w:rPr>
          <w:i/>
          <w:iCs/>
        </w:rPr>
      </w:pPr>
      <w:r w:rsidRPr="000806DC">
        <w:rPr>
          <w:i/>
          <w:iCs/>
        </w:rPr>
        <w:t xml:space="preserve">Student Interaction Online: </w:t>
      </w:r>
      <w:hyperlink r:id="rId10" w:history="1">
        <w:r w:rsidRPr="000806DC">
          <w:rPr>
            <w:rStyle w:val="Hyperlink"/>
            <w:i/>
            <w:iCs/>
          </w:rPr>
          <w:t>https://teaching.resources.osu.edu/teaching-topics/student-interaction-online</w:t>
        </w:r>
      </w:hyperlink>
    </w:p>
    <w:p w14:paraId="396C24B1" w14:textId="1844B5A3" w:rsidR="009C5E38" w:rsidRPr="00F33ECA" w:rsidRDefault="00FB4D8C" w:rsidP="00FB4D8C">
      <w:pPr>
        <w:pStyle w:val="ListParagraph"/>
        <w:numPr>
          <w:ilvl w:val="3"/>
          <w:numId w:val="2"/>
        </w:numPr>
        <w:spacing w:after="0"/>
        <w:rPr>
          <w:rStyle w:val="Hyperlink"/>
          <w:i/>
          <w:iCs/>
          <w:color w:val="auto"/>
          <w:u w:val="none"/>
        </w:rPr>
      </w:pPr>
      <w:r w:rsidRPr="000806DC">
        <w:rPr>
          <w:i/>
          <w:iCs/>
        </w:rPr>
        <w:t xml:space="preserve">Community Building in Online Courses: </w:t>
      </w:r>
      <w:hyperlink r:id="rId11" w:history="1">
        <w:r w:rsidRPr="000806DC">
          <w:rPr>
            <w:rStyle w:val="Hyperlink"/>
            <w:i/>
            <w:iCs/>
          </w:rPr>
          <w:t>https://ascode.osu.edu/resources/asc-teaching-forums/community-building-online-courses</w:t>
        </w:r>
      </w:hyperlink>
    </w:p>
    <w:p w14:paraId="1EF8DDB9" w14:textId="77777777" w:rsidR="00F33ECA" w:rsidRPr="00FB4D8C" w:rsidRDefault="00F33ECA" w:rsidP="00F33ECA">
      <w:pPr>
        <w:pStyle w:val="ListParagraph"/>
        <w:spacing w:after="0"/>
        <w:ind w:left="2880"/>
        <w:rPr>
          <w:i/>
          <w:iCs/>
        </w:rPr>
      </w:pPr>
    </w:p>
    <w:p w14:paraId="57D70BA2" w14:textId="637792A2" w:rsidR="00D945AD" w:rsidRPr="00FD01DF" w:rsidRDefault="000F2EA0" w:rsidP="00C80C21">
      <w:pPr>
        <w:numPr>
          <w:ilvl w:val="1"/>
          <w:numId w:val="2"/>
        </w:numPr>
        <w:rPr>
          <w:i/>
          <w:iCs/>
        </w:rPr>
      </w:pPr>
      <w:r w:rsidRPr="00FD01DF">
        <w:rPr>
          <w:i/>
          <w:iCs/>
        </w:rPr>
        <w:t>The DL paperwork mentions student discussions via Q&amp;A forums, but there is no reference to this course component in the syllabus proper.  The Panel recommends that, if Q&amp;A forums are indeed a key part of the course, they also appear in the syllabus.</w:t>
      </w:r>
    </w:p>
    <w:p w14:paraId="0C061A36" w14:textId="09AFE588" w:rsidR="00B054B9" w:rsidRDefault="00040B8A" w:rsidP="00C80C21">
      <w:pPr>
        <w:numPr>
          <w:ilvl w:val="1"/>
          <w:numId w:val="2"/>
        </w:numPr>
      </w:pPr>
      <w:r>
        <w:rPr>
          <w:i/>
          <w:iCs/>
        </w:rPr>
        <w:t xml:space="preserve">The Panel suggests making the fact that students should anticipate viewing weekly video lectures posted to Carmen more readily apparent in the syllabus.  </w:t>
      </w:r>
    </w:p>
    <w:p w14:paraId="6033D72C" w14:textId="16F5ADD9" w:rsidR="00B63077" w:rsidRPr="00B204B9" w:rsidRDefault="00B204B9" w:rsidP="00C80C21">
      <w:pPr>
        <w:numPr>
          <w:ilvl w:val="1"/>
          <w:numId w:val="2"/>
        </w:numPr>
        <w:rPr>
          <w:i/>
          <w:iCs/>
        </w:rPr>
      </w:pPr>
      <w:r w:rsidRPr="00B204B9">
        <w:rPr>
          <w:i/>
          <w:iCs/>
        </w:rPr>
        <w:t xml:space="preserve">On page 5 of the syllabus, </w:t>
      </w:r>
      <w:r>
        <w:rPr>
          <w:i/>
          <w:iCs/>
        </w:rPr>
        <w:t>the description section under “Quizzes” mentions that there are two quizzes worth 15 points each, which does not add up to the total 40 points designated to the quiz category in the grade breakdown</w:t>
      </w:r>
      <w:r w:rsidR="00F351C6">
        <w:rPr>
          <w:i/>
          <w:iCs/>
        </w:rPr>
        <w:t xml:space="preserve"> for the course</w:t>
      </w:r>
      <w:r>
        <w:rPr>
          <w:i/>
          <w:iCs/>
        </w:rPr>
        <w:t>; the Panel recommends changing the quiz weight from 15 to 20 points each</w:t>
      </w:r>
      <w:r w:rsidR="00F351C6">
        <w:rPr>
          <w:i/>
          <w:iCs/>
        </w:rPr>
        <w:t xml:space="preserve"> </w:t>
      </w:r>
      <w:r w:rsidR="006640B7">
        <w:rPr>
          <w:i/>
          <w:iCs/>
        </w:rPr>
        <w:t xml:space="preserve">in order </w:t>
      </w:r>
      <w:r w:rsidR="00F351C6">
        <w:rPr>
          <w:i/>
          <w:iCs/>
        </w:rPr>
        <w:t>to correspond with the grade breakdown</w:t>
      </w:r>
      <w:r>
        <w:rPr>
          <w:i/>
          <w:iCs/>
        </w:rPr>
        <w:t>.</w:t>
      </w:r>
    </w:p>
    <w:p w14:paraId="6F9FD53E" w14:textId="5CAE1838" w:rsidR="0095612B" w:rsidRDefault="00E720F6" w:rsidP="00C80C21">
      <w:pPr>
        <w:numPr>
          <w:ilvl w:val="1"/>
          <w:numId w:val="2"/>
        </w:numPr>
      </w:pPr>
      <w:r>
        <w:t>The Panel</w:t>
      </w:r>
      <w:r w:rsidR="00894E0D">
        <w:t xml:space="preserve"> kindly</w:t>
      </w:r>
      <w:r>
        <w:t xml:space="preserve"> notes</w:t>
      </w:r>
      <w:r w:rsidR="00894E0D">
        <w:t xml:space="preserve"> that the academic integrity statement for the Final Writing Assignment is missing (bottom of page 5 of the syllabus).</w:t>
      </w:r>
    </w:p>
    <w:p w14:paraId="2A0CF440" w14:textId="0CF70246" w:rsidR="00D06001" w:rsidRDefault="001F43DB" w:rsidP="00B117E1">
      <w:pPr>
        <w:numPr>
          <w:ilvl w:val="1"/>
          <w:numId w:val="2"/>
        </w:numPr>
      </w:pPr>
      <w:r>
        <w:t xml:space="preserve">Nathanson, Vasey; </w:t>
      </w:r>
      <w:r w:rsidRPr="005B3D1D">
        <w:rPr>
          <w:b/>
          <w:bCs/>
        </w:rPr>
        <w:t xml:space="preserve">unanimously approved </w:t>
      </w:r>
      <w:r w:rsidR="007253A5">
        <w:t xml:space="preserve">with </w:t>
      </w:r>
      <w:r w:rsidR="007253A5" w:rsidRPr="005B3D1D">
        <w:rPr>
          <w:b/>
          <w:bCs/>
        </w:rPr>
        <w:t>three (3) contingencies</w:t>
      </w:r>
      <w:r w:rsidR="007253A5">
        <w:t xml:space="preserve"> (in bold above),</w:t>
      </w:r>
      <w:r>
        <w:t xml:space="preserve"> </w:t>
      </w:r>
      <w:r w:rsidR="005B3D1D" w:rsidRPr="005B3D1D">
        <w:rPr>
          <w:i/>
          <w:iCs/>
        </w:rPr>
        <w:t xml:space="preserve">four (4) recommendations </w:t>
      </w:r>
      <w:r w:rsidR="005B3D1D">
        <w:t xml:space="preserve">(in italics above), and one (1) comment </w:t>
      </w:r>
    </w:p>
    <w:sectPr w:rsidR="00D06001" w:rsidSect="001B7C9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716C"/>
    <w:multiLevelType w:val="multilevel"/>
    <w:tmpl w:val="0D3C2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97617"/>
    <w:multiLevelType w:val="multilevel"/>
    <w:tmpl w:val="306CE9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C65297"/>
    <w:multiLevelType w:val="multilevel"/>
    <w:tmpl w:val="91FAA0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D34C92"/>
    <w:multiLevelType w:val="multilevel"/>
    <w:tmpl w:val="6E5EA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1251B5"/>
    <w:multiLevelType w:val="multilevel"/>
    <w:tmpl w:val="A71C4D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9F19C4"/>
    <w:multiLevelType w:val="multilevel"/>
    <w:tmpl w:val="DA5456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260E2D"/>
    <w:multiLevelType w:val="multilevel"/>
    <w:tmpl w:val="003E98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DB0E8A"/>
    <w:multiLevelType w:val="multilevel"/>
    <w:tmpl w:val="4BC07B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0"/>
  </w:num>
  <w:num w:numId="5">
    <w:abstractNumId w:val="4"/>
  </w:num>
  <w:num w:numId="6">
    <w:abstractNumId w:val="1"/>
  </w:num>
  <w:num w:numId="7">
    <w:abstractNumId w:val="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456"/>
    <w:rsid w:val="00040B8A"/>
    <w:rsid w:val="00056A2C"/>
    <w:rsid w:val="000B0D74"/>
    <w:rsid w:val="000F2EA0"/>
    <w:rsid w:val="00122247"/>
    <w:rsid w:val="001559C5"/>
    <w:rsid w:val="001718F9"/>
    <w:rsid w:val="0018754E"/>
    <w:rsid w:val="001B3EB8"/>
    <w:rsid w:val="001B7C9A"/>
    <w:rsid w:val="001C1F0D"/>
    <w:rsid w:val="001C5CF9"/>
    <w:rsid w:val="001F43DB"/>
    <w:rsid w:val="002375EE"/>
    <w:rsid w:val="00241571"/>
    <w:rsid w:val="002464B0"/>
    <w:rsid w:val="00263A6C"/>
    <w:rsid w:val="00272F1A"/>
    <w:rsid w:val="00275C54"/>
    <w:rsid w:val="002D7E07"/>
    <w:rsid w:val="002E2463"/>
    <w:rsid w:val="002F19DF"/>
    <w:rsid w:val="002F41B0"/>
    <w:rsid w:val="003044FD"/>
    <w:rsid w:val="0035441F"/>
    <w:rsid w:val="0036239D"/>
    <w:rsid w:val="003A554D"/>
    <w:rsid w:val="003B1B14"/>
    <w:rsid w:val="003B6E92"/>
    <w:rsid w:val="003C7B3E"/>
    <w:rsid w:val="003D2BFD"/>
    <w:rsid w:val="003F3CA1"/>
    <w:rsid w:val="003F64F3"/>
    <w:rsid w:val="003F7E62"/>
    <w:rsid w:val="00411B62"/>
    <w:rsid w:val="00413283"/>
    <w:rsid w:val="0042772C"/>
    <w:rsid w:val="004509CD"/>
    <w:rsid w:val="00453B80"/>
    <w:rsid w:val="0048186C"/>
    <w:rsid w:val="00485209"/>
    <w:rsid w:val="004A5B23"/>
    <w:rsid w:val="004B5E8B"/>
    <w:rsid w:val="004C2BEC"/>
    <w:rsid w:val="004C3B09"/>
    <w:rsid w:val="0051624F"/>
    <w:rsid w:val="005206CA"/>
    <w:rsid w:val="005254D0"/>
    <w:rsid w:val="00554684"/>
    <w:rsid w:val="0057227A"/>
    <w:rsid w:val="00575456"/>
    <w:rsid w:val="00582091"/>
    <w:rsid w:val="00595397"/>
    <w:rsid w:val="005B3D1D"/>
    <w:rsid w:val="005C5D4F"/>
    <w:rsid w:val="005D3395"/>
    <w:rsid w:val="005D5972"/>
    <w:rsid w:val="005E22B4"/>
    <w:rsid w:val="005E3616"/>
    <w:rsid w:val="00656E28"/>
    <w:rsid w:val="00661CE1"/>
    <w:rsid w:val="006640B7"/>
    <w:rsid w:val="00680E72"/>
    <w:rsid w:val="00687929"/>
    <w:rsid w:val="007050A9"/>
    <w:rsid w:val="00722AFD"/>
    <w:rsid w:val="007253A5"/>
    <w:rsid w:val="0072634B"/>
    <w:rsid w:val="00736E24"/>
    <w:rsid w:val="00737722"/>
    <w:rsid w:val="0077527C"/>
    <w:rsid w:val="007A76AA"/>
    <w:rsid w:val="0086653D"/>
    <w:rsid w:val="00884084"/>
    <w:rsid w:val="00885502"/>
    <w:rsid w:val="00885AC5"/>
    <w:rsid w:val="00887D22"/>
    <w:rsid w:val="0089228E"/>
    <w:rsid w:val="00894E0D"/>
    <w:rsid w:val="008C3C4D"/>
    <w:rsid w:val="008D0B97"/>
    <w:rsid w:val="008E16C2"/>
    <w:rsid w:val="008F4AE1"/>
    <w:rsid w:val="00920E8D"/>
    <w:rsid w:val="0093554D"/>
    <w:rsid w:val="0095612B"/>
    <w:rsid w:val="00981C28"/>
    <w:rsid w:val="00984804"/>
    <w:rsid w:val="009A3EDB"/>
    <w:rsid w:val="009B6220"/>
    <w:rsid w:val="009C5E38"/>
    <w:rsid w:val="009F262C"/>
    <w:rsid w:val="00A36B84"/>
    <w:rsid w:val="00A8072B"/>
    <w:rsid w:val="00A846CA"/>
    <w:rsid w:val="00AA1D6C"/>
    <w:rsid w:val="00AA4FFA"/>
    <w:rsid w:val="00AF2FBF"/>
    <w:rsid w:val="00B03F84"/>
    <w:rsid w:val="00B054B9"/>
    <w:rsid w:val="00B16A1D"/>
    <w:rsid w:val="00B204B9"/>
    <w:rsid w:val="00B20D9D"/>
    <w:rsid w:val="00B218DA"/>
    <w:rsid w:val="00B36527"/>
    <w:rsid w:val="00B46A6C"/>
    <w:rsid w:val="00B63077"/>
    <w:rsid w:val="00B66D61"/>
    <w:rsid w:val="00B85FA3"/>
    <w:rsid w:val="00B876F7"/>
    <w:rsid w:val="00BB2595"/>
    <w:rsid w:val="00BC6B80"/>
    <w:rsid w:val="00BC7C28"/>
    <w:rsid w:val="00BE3E15"/>
    <w:rsid w:val="00C214EE"/>
    <w:rsid w:val="00C223DE"/>
    <w:rsid w:val="00C628A9"/>
    <w:rsid w:val="00C77B5A"/>
    <w:rsid w:val="00C80C21"/>
    <w:rsid w:val="00C80FB5"/>
    <w:rsid w:val="00CA6D88"/>
    <w:rsid w:val="00CD6576"/>
    <w:rsid w:val="00CD72CD"/>
    <w:rsid w:val="00D06001"/>
    <w:rsid w:val="00D378FE"/>
    <w:rsid w:val="00D54E19"/>
    <w:rsid w:val="00D617E4"/>
    <w:rsid w:val="00D734F6"/>
    <w:rsid w:val="00D82426"/>
    <w:rsid w:val="00D84560"/>
    <w:rsid w:val="00D91D3F"/>
    <w:rsid w:val="00D93A57"/>
    <w:rsid w:val="00D945AD"/>
    <w:rsid w:val="00DC55F6"/>
    <w:rsid w:val="00DF2718"/>
    <w:rsid w:val="00E33BD2"/>
    <w:rsid w:val="00E44480"/>
    <w:rsid w:val="00E54E1B"/>
    <w:rsid w:val="00E63DC8"/>
    <w:rsid w:val="00E64BD3"/>
    <w:rsid w:val="00E669F9"/>
    <w:rsid w:val="00E720F6"/>
    <w:rsid w:val="00E74806"/>
    <w:rsid w:val="00E929BC"/>
    <w:rsid w:val="00EB3CB1"/>
    <w:rsid w:val="00EB5F4C"/>
    <w:rsid w:val="00EC5A64"/>
    <w:rsid w:val="00EC7308"/>
    <w:rsid w:val="00ED788E"/>
    <w:rsid w:val="00EF4972"/>
    <w:rsid w:val="00F33ECA"/>
    <w:rsid w:val="00F351C6"/>
    <w:rsid w:val="00F35B0C"/>
    <w:rsid w:val="00F456A6"/>
    <w:rsid w:val="00F46A74"/>
    <w:rsid w:val="00FA5F49"/>
    <w:rsid w:val="00FB4D8C"/>
    <w:rsid w:val="00FC0F39"/>
    <w:rsid w:val="00FC549B"/>
    <w:rsid w:val="00FD01DF"/>
    <w:rsid w:val="00FE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A2A4"/>
  <w15:chartTrackingRefBased/>
  <w15:docId w15:val="{32093EAA-DF68-4832-BD63-BF50B73E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BEC"/>
    <w:pPr>
      <w:ind w:left="720"/>
      <w:contextualSpacing/>
    </w:pPr>
  </w:style>
  <w:style w:type="character" w:styleId="Hyperlink">
    <w:name w:val="Hyperlink"/>
    <w:basedOn w:val="DefaultParagraphFont"/>
    <w:uiPriority w:val="99"/>
    <w:unhideWhenUsed/>
    <w:rsid w:val="00E669F9"/>
    <w:rPr>
      <w:color w:val="0000FF"/>
      <w:u w:val="single"/>
    </w:rPr>
  </w:style>
  <w:style w:type="character" w:styleId="FollowedHyperlink">
    <w:name w:val="FollowedHyperlink"/>
    <w:basedOn w:val="DefaultParagraphFont"/>
    <w:uiPriority w:val="99"/>
    <w:semiHidden/>
    <w:unhideWhenUsed/>
    <w:rsid w:val="00E669F9"/>
    <w:rPr>
      <w:color w:val="954F72" w:themeColor="followedHyperlink"/>
      <w:u w:val="single"/>
    </w:rPr>
  </w:style>
  <w:style w:type="character" w:styleId="UnresolvedMention">
    <w:name w:val="Unresolved Mention"/>
    <w:basedOn w:val="DefaultParagraphFont"/>
    <w:uiPriority w:val="99"/>
    <w:semiHidden/>
    <w:unhideWhenUsed/>
    <w:rsid w:val="00453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5324">
      <w:bodyDiv w:val="1"/>
      <w:marLeft w:val="0"/>
      <w:marRight w:val="0"/>
      <w:marTop w:val="0"/>
      <w:marBottom w:val="0"/>
      <w:divBdr>
        <w:top w:val="none" w:sz="0" w:space="0" w:color="auto"/>
        <w:left w:val="none" w:sz="0" w:space="0" w:color="auto"/>
        <w:bottom w:val="none" w:sz="0" w:space="0" w:color="auto"/>
        <w:right w:val="none" w:sz="0" w:space="0" w:color="auto"/>
      </w:divBdr>
    </w:div>
    <w:div w:id="602610448">
      <w:bodyDiv w:val="1"/>
      <w:marLeft w:val="0"/>
      <w:marRight w:val="0"/>
      <w:marTop w:val="0"/>
      <w:marBottom w:val="0"/>
      <w:divBdr>
        <w:top w:val="none" w:sz="0" w:space="0" w:color="auto"/>
        <w:left w:val="none" w:sz="0" w:space="0" w:color="auto"/>
        <w:bottom w:val="none" w:sz="0" w:space="0" w:color="auto"/>
        <w:right w:val="none" w:sz="0" w:space="0" w:color="auto"/>
      </w:divBdr>
    </w:div>
    <w:div w:id="671110097">
      <w:bodyDiv w:val="1"/>
      <w:marLeft w:val="0"/>
      <w:marRight w:val="0"/>
      <w:marTop w:val="0"/>
      <w:marBottom w:val="0"/>
      <w:divBdr>
        <w:top w:val="none" w:sz="0" w:space="0" w:color="auto"/>
        <w:left w:val="none" w:sz="0" w:space="0" w:color="auto"/>
        <w:bottom w:val="none" w:sz="0" w:space="0" w:color="auto"/>
        <w:right w:val="none" w:sz="0" w:space="0" w:color="auto"/>
      </w:divBdr>
    </w:div>
    <w:div w:id="801264922">
      <w:bodyDiv w:val="1"/>
      <w:marLeft w:val="0"/>
      <w:marRight w:val="0"/>
      <w:marTop w:val="0"/>
      <w:marBottom w:val="0"/>
      <w:divBdr>
        <w:top w:val="none" w:sz="0" w:space="0" w:color="auto"/>
        <w:left w:val="none" w:sz="0" w:space="0" w:color="auto"/>
        <w:bottom w:val="none" w:sz="0" w:space="0" w:color="auto"/>
        <w:right w:val="none" w:sz="0" w:space="0" w:color="auto"/>
      </w:divBdr>
    </w:div>
    <w:div w:id="13225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oaa.osu.edu/ohio-state-ge-progra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ccas.osu.edu/curriculum/syllabus-elements" TargetMode="External"/><Relationship Id="rId11" Type="http://schemas.openxmlformats.org/officeDocument/2006/relationships/hyperlink" Target="https://ascode.osu.edu/resources/asc-teaching-forums/community-building-online-courses" TargetMode="External"/><Relationship Id="rId5" Type="http://schemas.openxmlformats.org/officeDocument/2006/relationships/webSettings" Target="webSettings.xml"/><Relationship Id="rId10" Type="http://schemas.openxmlformats.org/officeDocument/2006/relationships/hyperlink" Target="https://teaching.resources.osu.edu/teaching-topics/student-interaction-online" TargetMode="External"/><Relationship Id="rId4" Type="http://schemas.openxmlformats.org/officeDocument/2006/relationships/settings" Target="settings.xml"/><Relationship Id="rId9" Type="http://schemas.openxmlformats.org/officeDocument/2006/relationships/hyperlink" Target="https://ascode.osu.edu/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4FEF1-F99E-41BE-A205-913CC7D4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Cody, Emily</cp:lastModifiedBy>
  <cp:revision>157</cp:revision>
  <dcterms:created xsi:type="dcterms:W3CDTF">2021-10-21T14:02:00Z</dcterms:created>
  <dcterms:modified xsi:type="dcterms:W3CDTF">2021-11-04T16:43:00Z</dcterms:modified>
</cp:coreProperties>
</file>